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168A9" w14:textId="77777777" w:rsidR="002C416E" w:rsidRPr="003E7AB4" w:rsidRDefault="002C416E" w:rsidP="002C416E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3E7AB4">
        <w:rPr>
          <w:b/>
          <w:caps/>
        </w:rPr>
        <w:t>DOCKET NO. 51883</w:t>
      </w:r>
    </w:p>
    <w:p w14:paraId="6558E0A0" w14:textId="77777777" w:rsidR="002C416E" w:rsidRPr="003E7AB4" w:rsidRDefault="002C416E" w:rsidP="002C416E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98"/>
        <w:gridCol w:w="270"/>
        <w:gridCol w:w="4608"/>
      </w:tblGrid>
      <w:tr w:rsidR="002C416E" w:rsidRPr="003E7AB4" w14:paraId="49000F21" w14:textId="77777777" w:rsidTr="007D11E2">
        <w:trPr>
          <w:trHeight w:val="1422"/>
        </w:trPr>
        <w:tc>
          <w:tcPr>
            <w:tcW w:w="4698" w:type="dxa"/>
          </w:tcPr>
          <w:p w14:paraId="1DAE5409" w14:textId="77777777" w:rsidR="002C416E" w:rsidRPr="003E7AB4" w:rsidRDefault="002C416E" w:rsidP="007D11E2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3E7AB4">
              <w:rPr>
                <w:b/>
                <w:szCs w:val="20"/>
              </w:rPr>
              <w:t>COMPLAINT AND REQUEST FOR EMERGENCY RELIEF BY LUMINANT ENERGY COMPANY LLC AGAINST THE ELECTRIC RELIABILITY COUNCIL OF TEXAS, INC.</w:t>
            </w:r>
          </w:p>
        </w:tc>
        <w:tc>
          <w:tcPr>
            <w:tcW w:w="270" w:type="dxa"/>
          </w:tcPr>
          <w:p w14:paraId="43DAA50D" w14:textId="77777777" w:rsidR="002C416E" w:rsidRPr="003E7AB4" w:rsidRDefault="002C416E" w:rsidP="007D11E2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3E7AB4">
              <w:rPr>
                <w:b/>
                <w:szCs w:val="20"/>
              </w:rPr>
              <w:t>§</w:t>
            </w:r>
          </w:p>
          <w:p w14:paraId="35FABE03" w14:textId="77777777" w:rsidR="002C416E" w:rsidRPr="003E7AB4" w:rsidRDefault="002C416E" w:rsidP="007D11E2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3E7AB4">
              <w:rPr>
                <w:b/>
                <w:szCs w:val="20"/>
              </w:rPr>
              <w:t>§</w:t>
            </w:r>
          </w:p>
          <w:p w14:paraId="6F584E35" w14:textId="77777777" w:rsidR="002C416E" w:rsidRPr="003E7AB4" w:rsidRDefault="002C416E" w:rsidP="007D11E2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3E7AB4">
              <w:rPr>
                <w:b/>
                <w:szCs w:val="20"/>
              </w:rPr>
              <w:t>§</w:t>
            </w:r>
          </w:p>
          <w:p w14:paraId="29BD2E48" w14:textId="77777777" w:rsidR="002C416E" w:rsidRPr="003E7AB4" w:rsidRDefault="002C416E" w:rsidP="007D11E2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3E7AB4">
              <w:rPr>
                <w:b/>
                <w:szCs w:val="20"/>
              </w:rPr>
              <w:t>§</w:t>
            </w:r>
          </w:p>
          <w:p w14:paraId="59A550B4" w14:textId="77777777" w:rsidR="002C416E" w:rsidRPr="003E7AB4" w:rsidRDefault="002C416E" w:rsidP="007D11E2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3E7AB4">
              <w:rPr>
                <w:b/>
                <w:szCs w:val="20"/>
              </w:rPr>
              <w:t>§</w:t>
            </w:r>
          </w:p>
        </w:tc>
        <w:tc>
          <w:tcPr>
            <w:tcW w:w="4608" w:type="dxa"/>
          </w:tcPr>
          <w:p w14:paraId="3615ED59" w14:textId="77777777" w:rsidR="002C416E" w:rsidRPr="003E7AB4" w:rsidRDefault="002C416E" w:rsidP="007D11E2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3E7AB4">
              <w:rPr>
                <w:b/>
                <w:bCs/>
                <w:caps/>
                <w:szCs w:val="20"/>
              </w:rPr>
              <w:t>PUBLIC UTILITY COMMISSION</w:t>
            </w:r>
          </w:p>
          <w:p w14:paraId="023F2EA7" w14:textId="77777777" w:rsidR="002C416E" w:rsidRPr="003E7AB4" w:rsidRDefault="002C416E" w:rsidP="007D11E2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4CED5C70" w14:textId="77777777" w:rsidR="002C416E" w:rsidRPr="003E7AB4" w:rsidRDefault="002C416E" w:rsidP="007D11E2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3E7AB4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3E7AB4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225138AF" w14:textId="77777777" w:rsidR="002C416E" w:rsidRPr="003E7AB4" w:rsidRDefault="002C416E" w:rsidP="002C416E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49F7A4A" w14:textId="1790FD92" w:rsidR="002C416E" w:rsidRPr="003E7AB4" w:rsidRDefault="002C416E" w:rsidP="00FB6A9A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3E7AB4">
        <w:rPr>
          <w:b/>
          <w:caps/>
        </w:rPr>
        <w:t xml:space="preserve">COMMISSION STAFF’S </w:t>
      </w:r>
      <w:r w:rsidR="007904C4" w:rsidRPr="003E7AB4">
        <w:rPr>
          <w:b/>
          <w:caps/>
        </w:rPr>
        <w:t>replies to exceptions</w:t>
      </w:r>
    </w:p>
    <w:p w14:paraId="305C8263" w14:textId="77777777" w:rsidR="00FB6A9A" w:rsidRPr="003E7AB4" w:rsidRDefault="00FB6A9A" w:rsidP="00FB6A9A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E4EA5C5" w14:textId="6EA06D54" w:rsidR="002C416E" w:rsidRPr="003E7AB4" w:rsidRDefault="00FB6A9A" w:rsidP="00FB6A9A">
      <w:pPr>
        <w:pStyle w:val="ListParagraph"/>
        <w:keepNext w:val="0"/>
        <w:numPr>
          <w:ilvl w:val="0"/>
          <w:numId w:val="1"/>
        </w:numPr>
        <w:spacing w:after="0"/>
        <w:jc w:val="center"/>
        <w:outlineLvl w:val="9"/>
        <w:rPr>
          <w:b/>
          <w:bCs/>
          <w:smallCaps/>
        </w:rPr>
      </w:pPr>
      <w:r w:rsidRPr="003E7AB4">
        <w:rPr>
          <w:b/>
          <w:bCs/>
          <w:smallCaps/>
        </w:rPr>
        <w:t>BACKGROUND</w:t>
      </w:r>
    </w:p>
    <w:p w14:paraId="1B8F253B" w14:textId="000C092A" w:rsidR="00FB6A9A" w:rsidRPr="003E7AB4" w:rsidRDefault="00FB6A9A" w:rsidP="00760742">
      <w:pPr>
        <w:keepNext w:val="0"/>
        <w:spacing w:after="0"/>
        <w:outlineLvl w:val="9"/>
      </w:pPr>
      <w:r w:rsidRPr="003E7AB4">
        <w:t xml:space="preserve">The conclusions reached by the </w:t>
      </w:r>
      <w:r w:rsidR="00806F7A" w:rsidRPr="003E7AB4">
        <w:t xml:space="preserve">ALJ in </w:t>
      </w:r>
      <w:r w:rsidR="00622794">
        <w:t>his</w:t>
      </w:r>
      <w:r w:rsidR="00806F7A" w:rsidRPr="003E7AB4">
        <w:t xml:space="preserve"> Proposal for Decision (PFD) are correct and should be maintained over the objections of Luminant Energy Company, LCC (Luminant).</w:t>
      </w:r>
      <w:r w:rsidR="00760742" w:rsidRPr="003E7AB4">
        <w:t xml:space="preserve"> </w:t>
      </w:r>
      <w:r w:rsidR="00806F7A" w:rsidRPr="003E7AB4">
        <w:t xml:space="preserve">Staff (Staff) </w:t>
      </w:r>
      <w:r w:rsidR="00760742" w:rsidRPr="003E7AB4">
        <w:t xml:space="preserve">of the Public Utility Commission of Texas (Commission) remains </w:t>
      </w:r>
      <w:r w:rsidR="0015072D">
        <w:t xml:space="preserve">supportive of </w:t>
      </w:r>
      <w:r w:rsidR="00760742" w:rsidRPr="003E7AB4">
        <w:t>the ALJ</w:t>
      </w:r>
      <w:r w:rsidR="00622794">
        <w:t>’s</w:t>
      </w:r>
      <w:r w:rsidR="00760742" w:rsidRPr="003E7AB4">
        <w:t xml:space="preserve"> reasoned consideration of the issues before them and supports their conclusions.</w:t>
      </w:r>
    </w:p>
    <w:p w14:paraId="3A6541A9" w14:textId="0E94A50B" w:rsidR="00760742" w:rsidRPr="003E7AB4" w:rsidRDefault="00760742" w:rsidP="00760742">
      <w:pPr>
        <w:keepNext w:val="0"/>
        <w:spacing w:after="0"/>
        <w:outlineLvl w:val="9"/>
      </w:pPr>
      <w:r w:rsidRPr="003E7AB4">
        <w:t xml:space="preserve">Here, Staff replies to certain exceptions </w:t>
      </w:r>
      <w:r w:rsidR="00494976" w:rsidRPr="003E7AB4">
        <w:t xml:space="preserve">Luminant </w:t>
      </w:r>
      <w:r w:rsidRPr="003E7AB4">
        <w:t>raised</w:t>
      </w:r>
      <w:r w:rsidR="00494976" w:rsidRPr="003E7AB4">
        <w:t xml:space="preserve"> to the PFD.</w:t>
      </w:r>
    </w:p>
    <w:p w14:paraId="778C4BF8" w14:textId="77777777" w:rsidR="00211C01" w:rsidRPr="003E7AB4" w:rsidRDefault="00211C01" w:rsidP="00760742">
      <w:pPr>
        <w:keepNext w:val="0"/>
        <w:spacing w:after="0"/>
        <w:outlineLvl w:val="9"/>
      </w:pPr>
    </w:p>
    <w:p w14:paraId="5EDC8CBD" w14:textId="12604047" w:rsidR="00660D3D" w:rsidRPr="002C5FC0" w:rsidRDefault="00211C01" w:rsidP="002C5FC0">
      <w:pPr>
        <w:pStyle w:val="ListParagraph"/>
        <w:keepNext w:val="0"/>
        <w:numPr>
          <w:ilvl w:val="0"/>
          <w:numId w:val="1"/>
        </w:numPr>
        <w:spacing w:after="0"/>
        <w:jc w:val="center"/>
        <w:outlineLvl w:val="9"/>
        <w:rPr>
          <w:b/>
          <w:bCs/>
          <w:smallCaps/>
        </w:rPr>
      </w:pPr>
      <w:r w:rsidRPr="003E7AB4">
        <w:rPr>
          <w:b/>
          <w:bCs/>
          <w:smallCaps/>
        </w:rPr>
        <w:t>STAFF’S REPLIES TO LUMINANT’S EXCEPTIONS</w:t>
      </w:r>
    </w:p>
    <w:p w14:paraId="262C2420" w14:textId="416B005C" w:rsidR="002D0291" w:rsidRPr="003E7AB4" w:rsidRDefault="002D0291" w:rsidP="00211C01">
      <w:pPr>
        <w:pStyle w:val="ListParagraph"/>
        <w:keepNext w:val="0"/>
        <w:numPr>
          <w:ilvl w:val="0"/>
          <w:numId w:val="3"/>
        </w:numPr>
        <w:spacing w:after="0"/>
        <w:outlineLvl w:val="9"/>
        <w:rPr>
          <w:b/>
          <w:bCs/>
        </w:rPr>
      </w:pPr>
      <w:r w:rsidRPr="003E7AB4">
        <w:rPr>
          <w:b/>
          <w:bCs/>
        </w:rPr>
        <w:t>Interpreting the Protocols as written is not a policy choice</w:t>
      </w:r>
    </w:p>
    <w:p w14:paraId="0CCD4EF5" w14:textId="73937684" w:rsidR="008003CA" w:rsidRPr="003E7AB4" w:rsidRDefault="00790D5D" w:rsidP="00790D5D">
      <w:pPr>
        <w:keepNext w:val="0"/>
        <w:spacing w:after="0"/>
        <w:outlineLvl w:val="9"/>
      </w:pPr>
      <w:r w:rsidRPr="003E7AB4">
        <w:t>Luminant states that “the PFD errs by recommending the Commission uphold an ERCOT decision that conflicts with the PUC’s policy of encouraging generators to procure firm gas transportation.”</w:t>
      </w:r>
      <w:r w:rsidR="00C222E2" w:rsidRPr="003E7AB4">
        <w:rPr>
          <w:rStyle w:val="FootnoteReference"/>
        </w:rPr>
        <w:footnoteReference w:id="1"/>
      </w:r>
      <w:r w:rsidRPr="003E7AB4">
        <w:t xml:space="preserve">  </w:t>
      </w:r>
      <w:r w:rsidR="009C6EDF" w:rsidRPr="003E7AB4">
        <w:t>To the extent that “demand charges”</w:t>
      </w:r>
      <w:r w:rsidR="000D2B6B" w:rsidRPr="003E7AB4">
        <w:rPr>
          <w:rStyle w:val="FootnoteReference"/>
        </w:rPr>
        <w:footnoteReference w:id="2"/>
      </w:r>
      <w:r w:rsidR="009C6EDF" w:rsidRPr="003E7AB4">
        <w:t xml:space="preserve"> </w:t>
      </w:r>
      <w:r w:rsidR="009C6EDF" w:rsidRPr="003E7AB4">
        <w:rPr>
          <w:i/>
          <w:iCs/>
        </w:rPr>
        <w:t>should</w:t>
      </w:r>
      <w:r w:rsidR="009C6EDF" w:rsidRPr="003E7AB4">
        <w:t xml:space="preserve"> be included in the fuel adder prospectively, the ERCOT Nodal Protocols should be revised—not reimagined</w:t>
      </w:r>
      <w:r w:rsidR="00D44408" w:rsidRPr="003E7AB4">
        <w:t>.  And as Luminant understands, this re</w:t>
      </w:r>
      <w:r w:rsidR="00CE5F89" w:rsidRPr="003E7AB4">
        <w:t xml:space="preserve">quires </w:t>
      </w:r>
      <w:r w:rsidR="00877CC8" w:rsidRPr="003E7AB4">
        <w:t>the completion of the Nodal Protocol revision request procedure.</w:t>
      </w:r>
      <w:r w:rsidR="003512A7" w:rsidRPr="003E7AB4">
        <w:t xml:space="preserve"> Until such time, the </w:t>
      </w:r>
      <w:r w:rsidR="000C57FE" w:rsidRPr="003E7AB4">
        <w:t xml:space="preserve">Protocols must </w:t>
      </w:r>
      <w:r w:rsidR="000C57FE" w:rsidRPr="00080929">
        <w:t xml:space="preserve">be interpreted as written and as ERCOT </w:t>
      </w:r>
      <w:r w:rsidR="0095016F" w:rsidRPr="00080929">
        <w:t>interpreted them</w:t>
      </w:r>
      <w:r w:rsidR="002E2594" w:rsidRPr="00080929">
        <w:t xml:space="preserve"> after determining that its prior decision was inconsistent with the law.</w:t>
      </w:r>
      <w:r w:rsidR="001F1307" w:rsidRPr="00080929">
        <w:t xml:space="preserve"> </w:t>
      </w:r>
      <w:r w:rsidR="00C222E2" w:rsidRPr="00080929">
        <w:t xml:space="preserve">Furthermore, </w:t>
      </w:r>
      <w:r w:rsidR="00161F58" w:rsidRPr="00080929">
        <w:t xml:space="preserve">it is for the Commission to determine </w:t>
      </w:r>
      <w:r w:rsidR="00FD11A3" w:rsidRPr="00080929">
        <w:t xml:space="preserve">whether </w:t>
      </w:r>
      <w:r w:rsidR="00E84D8F" w:rsidRPr="00080929">
        <w:t xml:space="preserve">ERCOT interpreted its Protocols as written. </w:t>
      </w:r>
    </w:p>
    <w:p w14:paraId="35C72BAC" w14:textId="16860CC3" w:rsidR="00660D3D" w:rsidRDefault="00660D3D" w:rsidP="008003CA">
      <w:pPr>
        <w:keepNext w:val="0"/>
        <w:spacing w:after="0"/>
        <w:ind w:firstLine="0"/>
        <w:outlineLvl w:val="9"/>
        <w:rPr>
          <w:b/>
          <w:bCs/>
        </w:rPr>
      </w:pPr>
    </w:p>
    <w:p w14:paraId="2FA4555B" w14:textId="4E6B4698" w:rsidR="00AE1CDA" w:rsidRDefault="00AE1CDA" w:rsidP="008003CA">
      <w:pPr>
        <w:keepNext w:val="0"/>
        <w:spacing w:after="0"/>
        <w:ind w:firstLine="0"/>
        <w:outlineLvl w:val="9"/>
        <w:rPr>
          <w:b/>
          <w:bCs/>
        </w:rPr>
      </w:pPr>
    </w:p>
    <w:p w14:paraId="04801A73" w14:textId="77777777" w:rsidR="00AE1CDA" w:rsidRPr="003E7AB4" w:rsidRDefault="00AE1CDA" w:rsidP="008003CA">
      <w:pPr>
        <w:keepNext w:val="0"/>
        <w:spacing w:after="0"/>
        <w:ind w:firstLine="0"/>
        <w:outlineLvl w:val="9"/>
        <w:rPr>
          <w:b/>
          <w:bCs/>
        </w:rPr>
      </w:pPr>
    </w:p>
    <w:p w14:paraId="35F2BA03" w14:textId="2CC33803" w:rsidR="00DE74B4" w:rsidRPr="003E7AB4" w:rsidRDefault="002D0291" w:rsidP="00660D3D">
      <w:pPr>
        <w:pStyle w:val="ListParagraph"/>
        <w:keepNext w:val="0"/>
        <w:numPr>
          <w:ilvl w:val="0"/>
          <w:numId w:val="3"/>
        </w:numPr>
        <w:spacing w:after="240" w:line="240" w:lineRule="auto"/>
        <w:jc w:val="left"/>
        <w:outlineLvl w:val="9"/>
      </w:pPr>
      <w:r w:rsidRPr="003E7AB4">
        <w:rPr>
          <w:b/>
          <w:bCs/>
        </w:rPr>
        <w:lastRenderedPageBreak/>
        <w:t>The issue is whether “demand charges” meet the definition of “minimum requirements fees</w:t>
      </w:r>
      <w:r w:rsidR="004412CE" w:rsidRPr="003E7AB4">
        <w:rPr>
          <w:b/>
          <w:bCs/>
        </w:rPr>
        <w:t xml:space="preserve"> (MRF)</w:t>
      </w:r>
      <w:r w:rsidRPr="003E7AB4">
        <w:rPr>
          <w:b/>
          <w:bCs/>
        </w:rPr>
        <w:t>.”</w:t>
      </w:r>
    </w:p>
    <w:p w14:paraId="2225E1E4" w14:textId="206BFB7A" w:rsidR="002D0291" w:rsidRPr="003E7AB4" w:rsidRDefault="00DF3EFE" w:rsidP="004412CE">
      <w:pPr>
        <w:keepNext w:val="0"/>
        <w:spacing w:after="0"/>
        <w:outlineLvl w:val="9"/>
      </w:pPr>
      <w:r w:rsidRPr="003E7AB4">
        <w:t>The PFD explains the meaning of “minimum requirements fee” using hypotheticals but actually compares Luminant’s contract to the definition of MRF—not a hypothetical contract</w:t>
      </w:r>
      <w:r w:rsidR="00F90E30" w:rsidRPr="003E7AB4">
        <w:t xml:space="preserve"> as Luminant asserts.</w:t>
      </w:r>
      <w:r w:rsidR="00846D7C" w:rsidRPr="003E7AB4">
        <w:rPr>
          <w:rStyle w:val="FootnoteReference"/>
        </w:rPr>
        <w:footnoteReference w:id="3"/>
      </w:r>
      <w:r w:rsidR="00F90E30" w:rsidRPr="003E7AB4">
        <w:t xml:space="preserve"> </w:t>
      </w:r>
      <w:r w:rsidR="008C7779" w:rsidRPr="003E7AB4">
        <w:t xml:space="preserve"> The nature of </w:t>
      </w:r>
      <w:r w:rsidR="00E4697B" w:rsidRPr="003E7AB4">
        <w:t>a</w:t>
      </w:r>
      <w:r w:rsidRPr="003E7AB4">
        <w:t xml:space="preserve"> “minimum requirements fee” is</w:t>
      </w:r>
      <w:r w:rsidR="00E4697B" w:rsidRPr="003E7AB4">
        <w:t xml:space="preserve"> that it is</w:t>
      </w:r>
      <w:r w:rsidRPr="003E7AB4">
        <w:t xml:space="preserve"> not a fixed cost</w:t>
      </w:r>
      <w:r w:rsidR="00E4697B" w:rsidRPr="003E7AB4">
        <w:t xml:space="preserve"> that does not vary from month to month</w:t>
      </w:r>
      <w:r w:rsidRPr="003E7AB4">
        <w:t>.</w:t>
      </w:r>
      <w:r w:rsidR="004412CE" w:rsidRPr="003E7AB4">
        <w:t xml:space="preserve"> </w:t>
      </w:r>
      <w:r w:rsidR="008A7E5E" w:rsidRPr="003E7AB4">
        <w:t xml:space="preserve"> Luminant responds with its own hypothetical contract w</w:t>
      </w:r>
      <w:r w:rsidR="0064782B" w:rsidRPr="003E7AB4">
        <w:t xml:space="preserve">ith a </w:t>
      </w:r>
      <w:r w:rsidR="008A7E5E" w:rsidRPr="003E7AB4">
        <w:t xml:space="preserve">fee </w:t>
      </w:r>
      <w:r w:rsidR="0064782B" w:rsidRPr="003E7AB4">
        <w:t xml:space="preserve">that </w:t>
      </w:r>
      <w:r w:rsidR="000B4CE0" w:rsidRPr="003E7AB4">
        <w:t xml:space="preserve">can </w:t>
      </w:r>
      <w:r w:rsidR="0064782B" w:rsidRPr="003E7AB4">
        <w:t xml:space="preserve">theoretically </w:t>
      </w:r>
      <w:r w:rsidR="000B4CE0" w:rsidRPr="003E7AB4">
        <w:t>change from month to month</w:t>
      </w:r>
      <w:r w:rsidR="007D51C3" w:rsidRPr="003E7AB4">
        <w:t xml:space="preserve"> </w:t>
      </w:r>
      <w:r w:rsidR="0064782B" w:rsidRPr="003E7AB4">
        <w:t xml:space="preserve">but does not </w:t>
      </w:r>
      <w:r w:rsidR="007D51C3" w:rsidRPr="003E7AB4">
        <w:t>due to circumstances.</w:t>
      </w:r>
      <w:r w:rsidR="000B4CE0" w:rsidRPr="003E7AB4">
        <w:t xml:space="preserve">  However, this is </w:t>
      </w:r>
      <w:r w:rsidR="007D51C3" w:rsidRPr="003E7AB4">
        <w:t>irrelevant</w:t>
      </w:r>
      <w:r w:rsidR="000B4CE0" w:rsidRPr="003E7AB4">
        <w:t xml:space="preserve"> because the minimum requirements fee provision is based on </w:t>
      </w:r>
      <w:r w:rsidR="007D51C3" w:rsidRPr="003E7AB4">
        <w:t xml:space="preserve">“contract terms”—not circumstances.  </w:t>
      </w:r>
      <w:r w:rsidRPr="003E7AB4">
        <w:t>There is no possible MRF that would be necessarily triggered every month in an unvarying amount without regard to volume</w:t>
      </w:r>
      <w:r w:rsidR="00816216" w:rsidRPr="003E7AB4">
        <w:t>, which is the type</w:t>
      </w:r>
      <w:r w:rsidR="00F31B50" w:rsidRPr="003E7AB4">
        <w:t xml:space="preserve"> of charge at issue here</w:t>
      </w:r>
      <w:r w:rsidR="00816216" w:rsidRPr="003E7AB4">
        <w:t xml:space="preserve">. </w:t>
      </w:r>
    </w:p>
    <w:p w14:paraId="7D6CB37F" w14:textId="77777777" w:rsidR="009C6EDF" w:rsidRPr="003E7AB4" w:rsidRDefault="009C6EDF" w:rsidP="00DE74B4">
      <w:pPr>
        <w:keepNext w:val="0"/>
        <w:spacing w:after="0"/>
        <w:ind w:firstLine="0"/>
        <w:outlineLvl w:val="9"/>
        <w:rPr>
          <w:b/>
          <w:bCs/>
        </w:rPr>
      </w:pPr>
    </w:p>
    <w:p w14:paraId="2E6081FC" w14:textId="0ADD9DF4" w:rsidR="009E02F4" w:rsidRPr="003E7AB4" w:rsidRDefault="00EB1BD9" w:rsidP="009E02F4">
      <w:pPr>
        <w:pStyle w:val="ListParagraph"/>
        <w:keepNext w:val="0"/>
        <w:numPr>
          <w:ilvl w:val="0"/>
          <w:numId w:val="3"/>
        </w:numPr>
        <w:spacing w:after="0"/>
        <w:outlineLvl w:val="9"/>
        <w:rPr>
          <w:b/>
          <w:bCs/>
        </w:rPr>
      </w:pPr>
      <w:r w:rsidRPr="003E7AB4">
        <w:rPr>
          <w:b/>
          <w:bCs/>
        </w:rPr>
        <w:t xml:space="preserve">The </w:t>
      </w:r>
      <w:r w:rsidR="00D45CE4" w:rsidRPr="003E7AB4">
        <w:rPr>
          <w:b/>
          <w:bCs/>
        </w:rPr>
        <w:t>Variable Cost Manual (</w:t>
      </w:r>
      <w:r w:rsidRPr="003E7AB4">
        <w:rPr>
          <w:b/>
          <w:bCs/>
        </w:rPr>
        <w:t>VCM</w:t>
      </w:r>
      <w:r w:rsidR="00D45CE4" w:rsidRPr="003E7AB4">
        <w:rPr>
          <w:b/>
          <w:bCs/>
        </w:rPr>
        <w:t>)</w:t>
      </w:r>
      <w:r w:rsidRPr="003E7AB4">
        <w:rPr>
          <w:b/>
          <w:bCs/>
        </w:rPr>
        <w:t xml:space="preserve"> does not define the MRF as a fixed dollar amount.</w:t>
      </w:r>
    </w:p>
    <w:p w14:paraId="341663AA" w14:textId="77777777" w:rsidR="00593673" w:rsidRPr="003E7AB4" w:rsidRDefault="009E02F4" w:rsidP="00D2731C">
      <w:pPr>
        <w:keepNext w:val="0"/>
        <w:spacing w:after="0"/>
        <w:ind w:firstLine="360"/>
        <w:outlineLvl w:val="9"/>
      </w:pPr>
      <w:r w:rsidRPr="003E7AB4">
        <w:t>Luminant’s argument is based on the false premise that the inputs in the VCM § 3.5(3) formula are fixed.</w:t>
      </w:r>
      <w:r w:rsidR="00056516" w:rsidRPr="003E7AB4">
        <w:t xml:space="preserve"> Under </w:t>
      </w:r>
      <w:r w:rsidR="00D6757F" w:rsidRPr="003E7AB4">
        <w:t xml:space="preserve">§ 3.5(3), the MRF </w:t>
      </w:r>
      <w:r w:rsidR="008273DD" w:rsidRPr="003E7AB4">
        <w:t xml:space="preserve">formula is </w:t>
      </w:r>
      <w:r w:rsidR="00D352D1" w:rsidRPr="003E7AB4">
        <w:t>MRF ($/MMBtu) = TMRFD ($) / TF (MMBtu),</w:t>
      </w:r>
      <w:r w:rsidR="00D352D1" w:rsidRPr="003E7AB4">
        <w:rPr>
          <w:rStyle w:val="FootnoteReference"/>
        </w:rPr>
        <w:footnoteReference w:id="4"/>
      </w:r>
      <w:r w:rsidR="00D352D1" w:rsidRPr="003E7AB4">
        <w:t xml:space="preserve"> where</w:t>
      </w:r>
      <w:r w:rsidR="00593673" w:rsidRPr="003E7AB4">
        <w:t>:</w:t>
      </w:r>
    </w:p>
    <w:p w14:paraId="4FF305FE" w14:textId="025533CF" w:rsidR="00593673" w:rsidRPr="003E7AB4" w:rsidRDefault="00D352D1" w:rsidP="00D2731C">
      <w:pPr>
        <w:keepNext w:val="0"/>
        <w:spacing w:after="0"/>
        <w:ind w:firstLine="360"/>
        <w:outlineLvl w:val="9"/>
      </w:pPr>
      <w:r w:rsidRPr="003E7AB4">
        <w:t>MRF = Minimum Requirements Fee</w:t>
      </w:r>
      <w:r w:rsidR="001063FC" w:rsidRPr="003E7AB4">
        <w:t>;</w:t>
      </w:r>
    </w:p>
    <w:p w14:paraId="79937D4C" w14:textId="19B141DA" w:rsidR="00593673" w:rsidRPr="003E7AB4" w:rsidRDefault="00D352D1" w:rsidP="00D2731C">
      <w:pPr>
        <w:keepNext w:val="0"/>
        <w:spacing w:after="0"/>
        <w:ind w:firstLine="360"/>
        <w:outlineLvl w:val="9"/>
      </w:pPr>
      <w:r w:rsidRPr="003E7AB4">
        <w:t>TMRFD = Total Minimum Requirements Fee Dollars, and</w:t>
      </w:r>
    </w:p>
    <w:p w14:paraId="669AA47D" w14:textId="4037FDC6" w:rsidR="001063FC" w:rsidRPr="003E7AB4" w:rsidRDefault="00D352D1" w:rsidP="00411D91">
      <w:pPr>
        <w:keepNext w:val="0"/>
        <w:spacing w:line="240" w:lineRule="auto"/>
        <w:ind w:left="990" w:hanging="630"/>
        <w:outlineLvl w:val="9"/>
      </w:pPr>
      <w:r w:rsidRPr="003E7AB4">
        <w:t>TF = Total Fuel Transported to storage, to a resource net of supply from storage, and for third-party sales net of supply from storage.</w:t>
      </w:r>
      <w:r w:rsidRPr="003E7AB4">
        <w:rPr>
          <w:rStyle w:val="FootnoteReference"/>
        </w:rPr>
        <w:footnoteReference w:id="5"/>
      </w:r>
    </w:p>
    <w:p w14:paraId="51ACB27C" w14:textId="3F0F5A8A" w:rsidR="00D02683" w:rsidRPr="003E7AB4" w:rsidRDefault="0066502F" w:rsidP="00411D91">
      <w:pPr>
        <w:keepNext w:val="0"/>
        <w:spacing w:after="0"/>
        <w:ind w:firstLine="0"/>
        <w:outlineLvl w:val="9"/>
      </w:pPr>
      <w:r w:rsidRPr="003E7AB4">
        <w:t xml:space="preserve">These inputs are not </w:t>
      </w:r>
      <w:r w:rsidR="00EA7D77" w:rsidRPr="003E7AB4">
        <w:t xml:space="preserve">necessarily </w:t>
      </w:r>
      <w:r w:rsidRPr="003E7AB4">
        <w:t>fixed.</w:t>
      </w:r>
      <w:r w:rsidR="00436007" w:rsidRPr="003E7AB4">
        <w:t xml:space="preserve"> </w:t>
      </w:r>
      <w:r w:rsidR="00C56D70" w:rsidRPr="003E7AB4">
        <w:t xml:space="preserve"> </w:t>
      </w:r>
      <w:r w:rsidR="006E3BB1" w:rsidRPr="003E7AB4">
        <w:t xml:space="preserve">There is no basis to </w:t>
      </w:r>
      <w:r w:rsidR="00525700" w:rsidRPr="003E7AB4">
        <w:t>infer</w:t>
      </w:r>
      <w:r w:rsidR="006E3BB1" w:rsidRPr="003E7AB4">
        <w:t xml:space="preserve"> the TMRFD</w:t>
      </w:r>
      <w:r w:rsidR="00525700" w:rsidRPr="003E7AB4">
        <w:t xml:space="preserve"> must be a flat dollar amount as alleged by Luminant.</w:t>
      </w:r>
      <w:r w:rsidR="00525700" w:rsidRPr="003E7AB4">
        <w:rPr>
          <w:rStyle w:val="FootnoteReference"/>
        </w:rPr>
        <w:footnoteReference w:id="6"/>
      </w:r>
      <w:r w:rsidR="00525700" w:rsidRPr="003E7AB4">
        <w:t xml:space="preserve"> </w:t>
      </w:r>
      <w:r w:rsidR="00C56D70" w:rsidRPr="003E7AB4">
        <w:t xml:space="preserve"> </w:t>
      </w:r>
      <w:r w:rsidR="00436007" w:rsidRPr="003E7AB4">
        <w:t>The ALJ</w:t>
      </w:r>
      <w:r w:rsidR="00823E56" w:rsidRPr="003E7AB4">
        <w:t xml:space="preserve"> agrees with this interpretation in the PFD,</w:t>
      </w:r>
      <w:r w:rsidR="00823E56" w:rsidRPr="003E7AB4">
        <w:rPr>
          <w:rStyle w:val="FootnoteReference"/>
        </w:rPr>
        <w:footnoteReference w:id="7"/>
      </w:r>
      <w:r w:rsidR="00823E56" w:rsidRPr="003E7AB4">
        <w:t xml:space="preserve"> </w:t>
      </w:r>
      <w:r w:rsidR="00886EB6" w:rsidRPr="003E7AB4">
        <w:t>explaining</w:t>
      </w:r>
      <w:r w:rsidR="00823E56" w:rsidRPr="003E7AB4">
        <w:t xml:space="preserve"> that a MRF is not a cost that is unwaveringly incurred at a fixed amount every month or year.</w:t>
      </w:r>
      <w:r w:rsidR="00886EB6" w:rsidRPr="003E7AB4">
        <w:rPr>
          <w:rStyle w:val="FootnoteReference"/>
        </w:rPr>
        <w:footnoteReference w:id="8"/>
      </w:r>
      <w:r w:rsidR="00886EB6" w:rsidRPr="003E7AB4">
        <w:t xml:space="preserve"> </w:t>
      </w:r>
      <w:r w:rsidR="003005B2" w:rsidRPr="003E7AB4">
        <w:t xml:space="preserve">The fee is incurred when a resource transports less fuel than a minimum amount specified </w:t>
      </w:r>
      <w:r w:rsidR="00DB5314" w:rsidRPr="003E7AB4">
        <w:t xml:space="preserve">in a contract with a supplier, it is not incurred when the resource transports the </w:t>
      </w:r>
      <w:r w:rsidR="00886EB6" w:rsidRPr="003E7AB4">
        <w:t>minimum</w:t>
      </w:r>
      <w:r w:rsidR="00DB5314" w:rsidRPr="003E7AB4">
        <w:t xml:space="preserve"> amount (or more) of </w:t>
      </w:r>
      <w:r w:rsidR="00DB5314" w:rsidRPr="003E7AB4">
        <w:lastRenderedPageBreak/>
        <w:t>fuel specified in the contract.</w:t>
      </w:r>
      <w:r w:rsidR="00886EB6" w:rsidRPr="003E7AB4">
        <w:rPr>
          <w:rStyle w:val="FootnoteReference"/>
        </w:rPr>
        <w:footnoteReference w:id="9"/>
      </w:r>
      <w:r w:rsidR="00DB5314" w:rsidRPr="003E7AB4">
        <w:t xml:space="preserve"> The ALJ continues to state that because </w:t>
      </w:r>
      <w:r w:rsidR="00D2731C" w:rsidRPr="003E7AB4">
        <w:t>the fee is “based on the contract terms,” the amount of the fee, when it is incurred, could vary from month to month or year to year.</w:t>
      </w:r>
      <w:r w:rsidR="00886EB6" w:rsidRPr="003E7AB4">
        <w:rPr>
          <w:rStyle w:val="FootnoteReference"/>
        </w:rPr>
        <w:footnoteReference w:id="10"/>
      </w:r>
      <w:r w:rsidR="00886EB6" w:rsidRPr="003E7AB4">
        <w:t xml:space="preserve"> Ultimately, the ALJ concluded that the payments at issue in this case simply do not meet the criteria of a MRW.</w:t>
      </w:r>
      <w:r w:rsidR="00886EB6" w:rsidRPr="003E7AB4">
        <w:rPr>
          <w:rStyle w:val="FootnoteReference"/>
        </w:rPr>
        <w:footnoteReference w:id="11"/>
      </w:r>
      <w:r w:rsidR="0071397E" w:rsidRPr="003E7AB4">
        <w:t xml:space="preserve"> Staff agrees.</w:t>
      </w:r>
    </w:p>
    <w:p w14:paraId="588F9EF0" w14:textId="40D4C5DC" w:rsidR="009E02F4" w:rsidRPr="003E7AB4" w:rsidRDefault="009E02F4" w:rsidP="009E02F4">
      <w:pPr>
        <w:keepNext w:val="0"/>
        <w:spacing w:after="0"/>
        <w:outlineLvl w:val="9"/>
        <w:rPr>
          <w:b/>
          <w:bCs/>
        </w:rPr>
      </w:pPr>
    </w:p>
    <w:p w14:paraId="495B3D6D" w14:textId="5BF0FB06" w:rsidR="00EB1BD9" w:rsidRPr="003E7AB4" w:rsidRDefault="00EB1BD9" w:rsidP="00211C01">
      <w:pPr>
        <w:pStyle w:val="ListParagraph"/>
        <w:keepNext w:val="0"/>
        <w:numPr>
          <w:ilvl w:val="0"/>
          <w:numId w:val="3"/>
        </w:numPr>
        <w:spacing w:after="0"/>
        <w:outlineLvl w:val="9"/>
        <w:rPr>
          <w:b/>
          <w:bCs/>
        </w:rPr>
      </w:pPr>
      <w:r w:rsidRPr="003E7AB4">
        <w:rPr>
          <w:b/>
          <w:bCs/>
        </w:rPr>
        <w:t>ERCOT’s decisions are not rules</w:t>
      </w:r>
    </w:p>
    <w:p w14:paraId="01C9F8CD" w14:textId="3C358877" w:rsidR="00E25DFF" w:rsidRPr="003E7AB4" w:rsidRDefault="00CE593E" w:rsidP="00E25DFF">
      <w:pPr>
        <w:keepNext w:val="0"/>
        <w:spacing w:after="0"/>
        <w:outlineLvl w:val="9"/>
      </w:pPr>
      <w:r w:rsidRPr="003E7AB4">
        <w:t>Luminant provided no support for</w:t>
      </w:r>
      <w:r w:rsidR="00E152BB" w:rsidRPr="003E7AB4">
        <w:t xml:space="preserve"> its contention that “ERCOT</w:t>
      </w:r>
      <w:r w:rsidR="00F53A65" w:rsidRPr="003E7AB4">
        <w:t xml:space="preserve"> issued decisions that are effectively rules</w:t>
      </w:r>
      <w:r w:rsidR="00E152BB" w:rsidRPr="003E7AB4">
        <w:t>.”</w:t>
      </w:r>
      <w:r w:rsidR="00E152BB" w:rsidRPr="003E7AB4">
        <w:rPr>
          <w:rStyle w:val="FootnoteReference"/>
        </w:rPr>
        <w:footnoteReference w:id="12"/>
      </w:r>
      <w:r w:rsidR="004412CE" w:rsidRPr="003E7AB4">
        <w:t xml:space="preserve"> </w:t>
      </w:r>
      <w:r w:rsidRPr="003E7AB4">
        <w:t xml:space="preserve">The </w:t>
      </w:r>
      <w:r w:rsidR="00F53A65" w:rsidRPr="003E7AB4">
        <w:t xml:space="preserve">fact </w:t>
      </w:r>
      <w:r w:rsidRPr="003E7AB4">
        <w:t>that ERCOT may “at any time, review and reject the Verifiable Costs that it has previously approved” is a conclusive indicator that approval decisions are not official interpretations of rules.</w:t>
      </w:r>
      <w:r w:rsidR="00F53A65" w:rsidRPr="003E7AB4">
        <w:rPr>
          <w:rStyle w:val="FootnoteReference"/>
        </w:rPr>
        <w:footnoteReference w:id="13"/>
      </w:r>
      <w:r w:rsidR="00445193" w:rsidRPr="003E7AB4">
        <w:t xml:space="preserve"> </w:t>
      </w:r>
      <w:r w:rsidR="003160DB" w:rsidRPr="003E7AB4">
        <w:t xml:space="preserve"> </w:t>
      </w:r>
      <w:r w:rsidR="00445193" w:rsidRPr="003E7AB4">
        <w:t xml:space="preserve">Furthermore, </w:t>
      </w:r>
      <w:r w:rsidR="002E1A4B" w:rsidRPr="003E7AB4">
        <w:t xml:space="preserve">Luminant </w:t>
      </w:r>
      <w:r w:rsidR="00805583" w:rsidRPr="003E7AB4">
        <w:t xml:space="preserve">claims that in revising its interpretation of </w:t>
      </w:r>
      <w:r w:rsidR="00DF6BAB" w:rsidRPr="003E7AB4">
        <w:t xml:space="preserve">its rule regarding the fuel adders, this constitutes an amendment or repeal of a rule, and </w:t>
      </w:r>
      <w:r w:rsidR="00B51D81" w:rsidRPr="003E7AB4">
        <w:t>this is a rule in and of itself.</w:t>
      </w:r>
      <w:r w:rsidR="000A6DC2" w:rsidRPr="003E7AB4">
        <w:rPr>
          <w:rStyle w:val="FootnoteReference"/>
        </w:rPr>
        <w:footnoteReference w:id="14"/>
      </w:r>
      <w:r w:rsidR="00B51D81" w:rsidRPr="003E7AB4">
        <w:t xml:space="preserve">  </w:t>
      </w:r>
      <w:r w:rsidR="009B5CDD" w:rsidRPr="003E7AB4">
        <w:t xml:space="preserve">But a change in the interpretation of a rule is not a change to a rule. </w:t>
      </w:r>
      <w:r w:rsidR="00D94982" w:rsidRPr="003E7AB4">
        <w:t xml:space="preserve">Although Luminant insists this is </w:t>
      </w:r>
      <w:r w:rsidR="001E12BE" w:rsidRPr="003E7AB4">
        <w:t>true</w:t>
      </w:r>
      <w:r w:rsidR="00D94982" w:rsidRPr="003E7AB4">
        <w:t>, it cites to no legal authority to bolster this claim.  There is none.</w:t>
      </w:r>
      <w:r w:rsidR="001E12BE" w:rsidRPr="003E7AB4">
        <w:t xml:space="preserve"> </w:t>
      </w:r>
      <w:r w:rsidR="003160DB" w:rsidRPr="003E7AB4">
        <w:t xml:space="preserve"> </w:t>
      </w:r>
      <w:r w:rsidR="001E12BE" w:rsidRPr="003E7AB4">
        <w:t xml:space="preserve">There is a revision process for ERCOT </w:t>
      </w:r>
      <w:r w:rsidR="00C13005" w:rsidRPr="003E7AB4">
        <w:t xml:space="preserve">Nodal Protocols and </w:t>
      </w:r>
      <w:r w:rsidR="00911EEF" w:rsidRPr="003E7AB4">
        <w:t xml:space="preserve">the </w:t>
      </w:r>
      <w:r w:rsidR="00C13005" w:rsidRPr="003E7AB4">
        <w:t>VCM</w:t>
      </w:r>
      <w:r w:rsidR="001E12BE" w:rsidRPr="003E7AB4">
        <w:t xml:space="preserve">, but the interpretation </w:t>
      </w:r>
      <w:r w:rsidR="003B337F" w:rsidRPr="003E7AB4">
        <w:t>of its own rules does not rise to the level of a revision</w:t>
      </w:r>
      <w:r w:rsidR="00C13005" w:rsidRPr="003E7AB4">
        <w:t xml:space="preserve"> of either</w:t>
      </w:r>
      <w:r w:rsidR="003B337F" w:rsidRPr="003E7AB4">
        <w:t>. Again, Luminant offers no legal authority to demonstrate this</w:t>
      </w:r>
      <w:r w:rsidR="00E25DFF" w:rsidRPr="003E7AB4">
        <w:t>.</w:t>
      </w:r>
    </w:p>
    <w:p w14:paraId="3B1E27DA" w14:textId="76CBC807" w:rsidR="00E25DFF" w:rsidRPr="003E7AB4" w:rsidRDefault="001C64C7" w:rsidP="00E25DFF">
      <w:pPr>
        <w:keepNext w:val="0"/>
        <w:spacing w:after="0"/>
        <w:outlineLvl w:val="9"/>
      </w:pPr>
      <w:r w:rsidRPr="003E7AB4">
        <w:t xml:space="preserve">In its exception, </w:t>
      </w:r>
      <w:r w:rsidR="00E25DFF" w:rsidRPr="003E7AB4">
        <w:t>Luminant p</w:t>
      </w:r>
      <w:r w:rsidR="0086766C" w:rsidRPr="003E7AB4">
        <w:t xml:space="preserve">oses the </w:t>
      </w:r>
      <w:r w:rsidRPr="003E7AB4">
        <w:t>rhetorical</w:t>
      </w:r>
      <w:r w:rsidR="0086766C" w:rsidRPr="003E7AB4">
        <w:t xml:space="preserve"> question “</w:t>
      </w:r>
      <w:r w:rsidRPr="003E7AB4">
        <w:t>w</w:t>
      </w:r>
      <w:r w:rsidR="0086766C" w:rsidRPr="003E7AB4">
        <w:t>hy are rules</w:t>
      </w:r>
      <w:r w:rsidR="00CC0577" w:rsidRPr="003E7AB4">
        <w:t xml:space="preserve"> </w:t>
      </w:r>
      <w:r w:rsidR="0086766C" w:rsidRPr="003E7AB4">
        <w:t>excluded</w:t>
      </w:r>
      <w:r w:rsidR="001E15A4">
        <w:t>?</w:t>
      </w:r>
      <w:r w:rsidR="0086766C" w:rsidRPr="003E7AB4">
        <w:t>” and answers “because they are dealt with by other APA provisions that require that rules can only be change through formal rulemaking, not by ad-hoc corrections.</w:t>
      </w:r>
      <w:r w:rsidRPr="003E7AB4">
        <w:t>”</w:t>
      </w:r>
      <w:r w:rsidRPr="003E7AB4">
        <w:rPr>
          <w:rStyle w:val="FootnoteReference"/>
        </w:rPr>
        <w:footnoteReference w:id="15"/>
      </w:r>
      <w:r w:rsidR="0086766C" w:rsidRPr="003E7AB4">
        <w:t xml:space="preserve"> However, </w:t>
      </w:r>
      <w:r w:rsidR="005A4BA1" w:rsidRPr="003E7AB4">
        <w:t xml:space="preserve">the PFD </w:t>
      </w:r>
      <w:r w:rsidR="00CC0577" w:rsidRPr="003E7AB4">
        <w:t>was</w:t>
      </w:r>
      <w:r w:rsidR="005A4BA1" w:rsidRPr="003E7AB4">
        <w:t xml:space="preserve"> clear that the Administrative Procedure Act (APA) is not applicable </w:t>
      </w:r>
      <w:r w:rsidR="006616CE" w:rsidRPr="003E7AB4">
        <w:t>to ERCOT</w:t>
      </w:r>
      <w:r w:rsidR="005A4BA1" w:rsidRPr="003E7AB4">
        <w:t>.</w:t>
      </w:r>
      <w:r w:rsidR="005A4BA1" w:rsidRPr="003E7AB4">
        <w:rPr>
          <w:rStyle w:val="FootnoteReference"/>
        </w:rPr>
        <w:footnoteReference w:id="16"/>
      </w:r>
      <w:r w:rsidR="005A4BA1" w:rsidRPr="003E7AB4">
        <w:t xml:space="preserve">  </w:t>
      </w:r>
      <w:r w:rsidR="00D14F8D" w:rsidRPr="003E7AB4">
        <w:t>ERCOT is not subject to the APA because it does not have statewide jurisdiction.</w:t>
      </w:r>
      <w:r w:rsidRPr="003E7AB4">
        <w:rPr>
          <w:rStyle w:val="FootnoteReference"/>
        </w:rPr>
        <w:footnoteReference w:id="17"/>
      </w:r>
      <w:r w:rsidR="00D14F8D" w:rsidRPr="003E7AB4">
        <w:t xml:space="preserve"> As further explained in ERCOT’s response to Luminant’s motion for summary judgement, </w:t>
      </w:r>
      <w:r w:rsidR="003016D6" w:rsidRPr="003E7AB4">
        <w:t xml:space="preserve">while ERCOT’s Protocols are legally </w:t>
      </w:r>
      <w:r w:rsidR="003016D6" w:rsidRPr="003E7AB4">
        <w:lastRenderedPageBreak/>
        <w:t>binding rules with the force and effect of statutes, ERCOT’s stakeholder-driven Pro</w:t>
      </w:r>
      <w:r w:rsidR="00F56DE7" w:rsidRPr="003E7AB4">
        <w:t>to</w:t>
      </w:r>
      <w:r w:rsidR="003016D6" w:rsidRPr="003E7AB4">
        <w:t>col revision process does not fully align with certain aspects of APA rulemaking.</w:t>
      </w:r>
      <w:r w:rsidR="003016D6" w:rsidRPr="003E7AB4">
        <w:rPr>
          <w:rStyle w:val="FootnoteReference"/>
        </w:rPr>
        <w:footnoteReference w:id="18"/>
      </w:r>
      <w:r w:rsidR="003016D6" w:rsidRPr="003E7AB4">
        <w:t xml:space="preserve"> Furthermore, unlike</w:t>
      </w:r>
      <w:r w:rsidR="000E281B" w:rsidRPr="003E7AB4">
        <w:t xml:space="preserve"> a state agency subject to the APA, ERCOT lacks any authority to issue an order addressing comments submitted to its rules</w:t>
      </w:r>
      <w:r w:rsidR="00C33969" w:rsidRPr="003E7AB4">
        <w:t>.</w:t>
      </w:r>
      <w:r w:rsidR="00897D11" w:rsidRPr="003E7AB4">
        <w:rPr>
          <w:rStyle w:val="FootnoteReference"/>
        </w:rPr>
        <w:footnoteReference w:id="19"/>
      </w:r>
      <w:r w:rsidR="00C33969" w:rsidRPr="003E7AB4">
        <w:t xml:space="preserve">  Additionally, nothing in the APA bars a state agency from reconsidering its interpretation of a rule if the prior interpretation is found to be contrary to law.</w:t>
      </w:r>
      <w:r w:rsidR="00897D11" w:rsidRPr="003E7AB4">
        <w:rPr>
          <w:rStyle w:val="FootnoteReference"/>
        </w:rPr>
        <w:footnoteReference w:id="20"/>
      </w:r>
      <w:r w:rsidR="00C33969" w:rsidRPr="003E7AB4">
        <w:t xml:space="preserve"> </w:t>
      </w:r>
      <w:r w:rsidR="00450714" w:rsidRPr="003E7AB4">
        <w:t>ERCOT’s change in course was not merely an election among competing policy outcomes but a correction to ensure conformity with the law.</w:t>
      </w:r>
      <w:r w:rsidR="00897D11" w:rsidRPr="003E7AB4">
        <w:rPr>
          <w:rStyle w:val="FootnoteReference"/>
        </w:rPr>
        <w:footnoteReference w:id="21"/>
      </w:r>
    </w:p>
    <w:p w14:paraId="507A7068" w14:textId="77777777" w:rsidR="00FB6A9A" w:rsidRPr="003E7AB4" w:rsidRDefault="00FB6A9A" w:rsidP="00F56DE7">
      <w:pPr>
        <w:keepNext w:val="0"/>
        <w:spacing w:after="0"/>
        <w:ind w:firstLine="0"/>
        <w:outlineLvl w:val="9"/>
        <w:rPr>
          <w:b/>
          <w:bCs/>
          <w:smallCaps/>
        </w:rPr>
      </w:pPr>
    </w:p>
    <w:p w14:paraId="4A3A3BA6" w14:textId="07068FC9" w:rsidR="002C416E" w:rsidRPr="003E7AB4" w:rsidRDefault="002C416E" w:rsidP="00F21FBF">
      <w:pPr>
        <w:pStyle w:val="ListParagraph"/>
        <w:keepNext w:val="0"/>
        <w:numPr>
          <w:ilvl w:val="0"/>
          <w:numId w:val="1"/>
        </w:numPr>
        <w:spacing w:after="0"/>
        <w:jc w:val="center"/>
        <w:outlineLvl w:val="9"/>
        <w:rPr>
          <w:b/>
          <w:bCs/>
          <w:smallCaps/>
        </w:rPr>
      </w:pPr>
      <w:r w:rsidRPr="003E7AB4">
        <w:rPr>
          <w:b/>
          <w:bCs/>
          <w:smallCaps/>
        </w:rPr>
        <w:t>CONCLUSION</w:t>
      </w:r>
    </w:p>
    <w:p w14:paraId="370F3B47" w14:textId="135489A6" w:rsidR="002C416E" w:rsidRPr="003E7AB4" w:rsidRDefault="002C416E" w:rsidP="002C416E">
      <w:pPr>
        <w:keepNext w:val="0"/>
        <w:spacing w:after="0"/>
        <w:ind w:firstLine="0"/>
        <w:outlineLvl w:val="9"/>
      </w:pPr>
      <w:r w:rsidRPr="003E7AB4">
        <w:tab/>
        <w:t xml:space="preserve">Staff respectfully requests the </w:t>
      </w:r>
      <w:r w:rsidR="00C96D62">
        <w:t xml:space="preserve">ALJ deny Luminant’s Exceptions and requests the </w:t>
      </w:r>
      <w:r w:rsidRPr="003E7AB4">
        <w:t xml:space="preserve">issuance of </w:t>
      </w:r>
      <w:r w:rsidR="009B659B" w:rsidRPr="003E7AB4">
        <w:t xml:space="preserve">an order consistent with the </w:t>
      </w:r>
      <w:r w:rsidR="00C96D62">
        <w:t xml:space="preserve">Proposal for Decision filed in this docket on January 6, 2023. </w:t>
      </w:r>
    </w:p>
    <w:p w14:paraId="410AE747" w14:textId="77777777" w:rsidR="00F21FBF" w:rsidRPr="003E7AB4" w:rsidRDefault="00F21FBF" w:rsidP="002C416E">
      <w:pPr>
        <w:keepNext w:val="0"/>
        <w:spacing w:after="0"/>
        <w:ind w:firstLine="0"/>
        <w:outlineLvl w:val="9"/>
      </w:pPr>
    </w:p>
    <w:p w14:paraId="41814FC5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1907E1E1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39C10DE1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786C2E2A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0B0EFEDB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007574DE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69714BD3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7CFD5E32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4D1198DD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36F31DE8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524A745B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00A31C80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00E161E3" w14:textId="77777777" w:rsidR="00364146" w:rsidRDefault="00364146" w:rsidP="002C416E">
      <w:pPr>
        <w:keepNext w:val="0"/>
        <w:spacing w:after="0"/>
        <w:ind w:firstLine="0"/>
        <w:outlineLvl w:val="9"/>
      </w:pPr>
    </w:p>
    <w:p w14:paraId="26B416F2" w14:textId="77777777" w:rsidR="00AB37D4" w:rsidRDefault="00AB37D4" w:rsidP="002C416E">
      <w:pPr>
        <w:keepNext w:val="0"/>
        <w:spacing w:after="0"/>
        <w:ind w:firstLine="0"/>
        <w:outlineLvl w:val="9"/>
      </w:pPr>
    </w:p>
    <w:p w14:paraId="206E605B" w14:textId="5DE49EFC" w:rsidR="002C416E" w:rsidRPr="003E7AB4" w:rsidRDefault="002C416E" w:rsidP="002C416E">
      <w:pPr>
        <w:keepNext w:val="0"/>
        <w:spacing w:after="0"/>
        <w:ind w:firstLine="0"/>
        <w:outlineLvl w:val="9"/>
      </w:pPr>
      <w:r w:rsidRPr="003E7AB4">
        <w:lastRenderedPageBreak/>
        <w:t xml:space="preserve">Dated: </w:t>
      </w:r>
      <w:r w:rsidR="009A5D11" w:rsidRPr="003E7AB4">
        <w:t>February</w:t>
      </w:r>
      <w:r w:rsidRPr="003E7AB4">
        <w:t xml:space="preserve"> </w:t>
      </w:r>
      <w:r w:rsidR="009A5D11" w:rsidRPr="003E7AB4">
        <w:t>13</w:t>
      </w:r>
      <w:r w:rsidRPr="003E7AB4">
        <w:t>, 202</w:t>
      </w:r>
      <w:r w:rsidR="009A5D11" w:rsidRPr="003E7AB4">
        <w:t>3</w:t>
      </w:r>
    </w:p>
    <w:p w14:paraId="4573375C" w14:textId="77777777" w:rsidR="002C416E" w:rsidRPr="003E7AB4" w:rsidRDefault="002C416E" w:rsidP="002C416E">
      <w:pPr>
        <w:keepNext w:val="0"/>
        <w:spacing w:after="0"/>
        <w:ind w:firstLine="0"/>
        <w:outlineLvl w:val="9"/>
      </w:pPr>
    </w:p>
    <w:p w14:paraId="701F9604" w14:textId="77777777" w:rsidR="002C416E" w:rsidRPr="003E7AB4" w:rsidRDefault="002C416E" w:rsidP="002C416E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Respectfully Submitted,</w:t>
      </w:r>
    </w:p>
    <w:p w14:paraId="06CB103E" w14:textId="77777777" w:rsidR="002C416E" w:rsidRPr="003E7AB4" w:rsidRDefault="002C416E" w:rsidP="002C416E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3E7AB4">
        <w:rPr>
          <w:b/>
        </w:rPr>
        <w:t>PUBLIC UTILITY COMMISSION OF TEXAS LEGAL DIVISION</w:t>
      </w:r>
    </w:p>
    <w:p w14:paraId="373AC682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64DE349A" w14:textId="7D44B5A5" w:rsidR="002C416E" w:rsidRPr="003E7AB4" w:rsidRDefault="009A5D11" w:rsidP="002C416E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3E7AB4">
        <w:rPr>
          <w:szCs w:val="20"/>
        </w:rPr>
        <w:t>Keith Rogas</w:t>
      </w:r>
    </w:p>
    <w:p w14:paraId="3B94EDCF" w14:textId="77777777" w:rsidR="002C416E" w:rsidRPr="003E7AB4" w:rsidRDefault="002C416E" w:rsidP="002C416E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3E7AB4">
        <w:rPr>
          <w:szCs w:val="20"/>
        </w:rPr>
        <w:t xml:space="preserve">Division Director </w:t>
      </w:r>
    </w:p>
    <w:p w14:paraId="5B73ED52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09645BCD" w14:textId="4683C49C" w:rsidR="002C416E" w:rsidRPr="003E7AB4" w:rsidRDefault="009A5D11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Marisa Lopez Wagley</w:t>
      </w:r>
    </w:p>
    <w:p w14:paraId="6A22885C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Managing Attorney</w:t>
      </w:r>
    </w:p>
    <w:p w14:paraId="49D616CD" w14:textId="77777777" w:rsidR="002C416E" w:rsidRPr="003E7AB4" w:rsidRDefault="002C416E" w:rsidP="002C416E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3E7AB4">
        <w:rPr>
          <w:szCs w:val="20"/>
        </w:rPr>
        <w:tab/>
      </w:r>
      <w:r w:rsidRPr="003E7AB4">
        <w:rPr>
          <w:szCs w:val="20"/>
        </w:rPr>
        <w:tab/>
      </w:r>
    </w:p>
    <w:p w14:paraId="35358719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3E7AB4">
        <w:rPr>
          <w:szCs w:val="20"/>
          <w:u w:val="single"/>
        </w:rPr>
        <w:t>/</w:t>
      </w:r>
      <w:r w:rsidRPr="003E7AB4">
        <w:rPr>
          <w:i/>
          <w:iCs/>
          <w:szCs w:val="20"/>
          <w:u w:val="single"/>
        </w:rPr>
        <w:t>s</w:t>
      </w:r>
      <w:r w:rsidRPr="003E7AB4">
        <w:rPr>
          <w:szCs w:val="20"/>
          <w:u w:val="single"/>
        </w:rPr>
        <w:t>/ Phillip Lehmann</w:t>
      </w:r>
    </w:p>
    <w:p w14:paraId="618C8EA4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Phillip Lehmann</w:t>
      </w:r>
    </w:p>
    <w:p w14:paraId="68490B22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State Bar No. 24100140</w:t>
      </w:r>
    </w:p>
    <w:p w14:paraId="553D0439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1701 N. Congress Avenue</w:t>
      </w:r>
    </w:p>
    <w:p w14:paraId="20D7D5A0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P.O. Box 13326</w:t>
      </w:r>
    </w:p>
    <w:p w14:paraId="132B2994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Austin, Texas 78711-3326</w:t>
      </w:r>
    </w:p>
    <w:p w14:paraId="79E6CD0E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(512) 936-7275</w:t>
      </w:r>
    </w:p>
    <w:p w14:paraId="26559E6E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(512) 936-7268 (facsimile)</w:t>
      </w:r>
    </w:p>
    <w:p w14:paraId="3DAB9DAE" w14:textId="77777777" w:rsidR="002C416E" w:rsidRPr="003E7AB4" w:rsidRDefault="002C416E" w:rsidP="002C416E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E7AB4">
        <w:rPr>
          <w:szCs w:val="20"/>
        </w:rPr>
        <w:t>phillip.lehmann</w:t>
      </w:r>
      <w:r w:rsidRPr="003E7AB4">
        <w:t>@puc.texas.gov</w:t>
      </w:r>
    </w:p>
    <w:p w14:paraId="52AFCB23" w14:textId="77777777" w:rsidR="002C416E" w:rsidRPr="003E7AB4" w:rsidRDefault="002C416E" w:rsidP="002C416E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3D10DE9A" w14:textId="77777777" w:rsidR="002C416E" w:rsidRPr="003E7AB4" w:rsidRDefault="002C416E" w:rsidP="002C416E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B387F1B" w14:textId="77777777" w:rsidR="002C416E" w:rsidRPr="003E7AB4" w:rsidRDefault="002C416E" w:rsidP="002C416E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3E7AB4">
        <w:rPr>
          <w:b/>
          <w:caps/>
        </w:rPr>
        <w:t>DOCKET NO. 51883</w:t>
      </w:r>
    </w:p>
    <w:p w14:paraId="5170FB62" w14:textId="77777777" w:rsidR="002C416E" w:rsidRPr="003E7AB4" w:rsidRDefault="002C416E" w:rsidP="002C416E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</w:p>
    <w:p w14:paraId="7668D0DD" w14:textId="77777777" w:rsidR="002C416E" w:rsidRPr="003E7AB4" w:rsidRDefault="002C416E" w:rsidP="002C416E">
      <w:pPr>
        <w:keepNext w:val="0"/>
        <w:spacing w:after="0"/>
        <w:ind w:firstLine="0"/>
        <w:jc w:val="center"/>
        <w:outlineLvl w:val="9"/>
        <w:rPr>
          <w:b/>
        </w:rPr>
      </w:pPr>
      <w:r w:rsidRPr="003E7AB4">
        <w:rPr>
          <w:b/>
        </w:rPr>
        <w:t>CERTIFICATE OF SERVICE</w:t>
      </w:r>
    </w:p>
    <w:p w14:paraId="2E21AE90" w14:textId="23970940" w:rsidR="002C416E" w:rsidRPr="003E7AB4" w:rsidRDefault="002C416E" w:rsidP="002C416E">
      <w:pPr>
        <w:keepNext w:val="0"/>
        <w:spacing w:after="0"/>
        <w:outlineLvl w:val="9"/>
      </w:pPr>
      <w:r w:rsidRPr="003E7AB4">
        <w:t xml:space="preserve">I certify that, unless otherwise ordered by the presiding officer, notice of the filing of this document was provided to all parties of record on </w:t>
      </w:r>
      <w:r w:rsidR="00496734">
        <w:t>February 13, 2023</w:t>
      </w:r>
      <w:r w:rsidRPr="003E7AB4">
        <w:t xml:space="preserve"> in accordance with the Order Suspending Rules, issued in Project No. 50664.</w:t>
      </w:r>
    </w:p>
    <w:p w14:paraId="5D32A2F4" w14:textId="77777777" w:rsidR="002C416E" w:rsidRPr="003E7AB4" w:rsidRDefault="002C416E" w:rsidP="002C416E">
      <w:pPr>
        <w:keepNext w:val="0"/>
        <w:spacing w:after="0"/>
        <w:outlineLvl w:val="9"/>
      </w:pPr>
    </w:p>
    <w:p w14:paraId="7AA23FE8" w14:textId="77777777" w:rsidR="002C416E" w:rsidRPr="003E7AB4" w:rsidRDefault="002C416E" w:rsidP="002C416E">
      <w:pPr>
        <w:keepNext w:val="0"/>
        <w:spacing w:after="0" w:line="240" w:lineRule="auto"/>
        <w:outlineLvl w:val="9"/>
        <w:rPr>
          <w:u w:val="single"/>
        </w:rPr>
      </w:pPr>
      <w:r w:rsidRPr="003E7AB4">
        <w:tab/>
      </w:r>
      <w:r w:rsidRPr="003E7AB4">
        <w:tab/>
      </w:r>
      <w:r w:rsidRPr="003E7AB4">
        <w:tab/>
      </w:r>
      <w:r w:rsidRPr="003E7AB4">
        <w:tab/>
      </w:r>
      <w:r w:rsidRPr="003E7AB4">
        <w:tab/>
      </w:r>
      <w:r w:rsidRPr="003E7AB4">
        <w:tab/>
      </w:r>
      <w:r w:rsidRPr="003E7AB4">
        <w:rPr>
          <w:u w:val="single"/>
        </w:rPr>
        <w:t>/</w:t>
      </w:r>
      <w:r w:rsidRPr="003E7AB4">
        <w:rPr>
          <w:i/>
          <w:iCs/>
          <w:u w:val="single"/>
        </w:rPr>
        <w:t>s</w:t>
      </w:r>
      <w:r w:rsidRPr="003E7AB4">
        <w:rPr>
          <w:u w:val="single"/>
        </w:rPr>
        <w:t>/ Phillip Lehmann</w:t>
      </w:r>
    </w:p>
    <w:p w14:paraId="3D7A9C3F" w14:textId="77777777" w:rsidR="002C416E" w:rsidRPr="003E7AB4" w:rsidRDefault="002C416E" w:rsidP="002C416E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3E7AB4">
        <w:rPr>
          <w:szCs w:val="20"/>
        </w:rPr>
        <w:tab/>
      </w:r>
      <w:r w:rsidRPr="003E7AB4">
        <w:rPr>
          <w:szCs w:val="20"/>
        </w:rPr>
        <w:tab/>
      </w:r>
      <w:r w:rsidRPr="003E7AB4">
        <w:rPr>
          <w:szCs w:val="20"/>
        </w:rPr>
        <w:tab/>
      </w:r>
      <w:r w:rsidRPr="003E7AB4">
        <w:rPr>
          <w:szCs w:val="20"/>
        </w:rPr>
        <w:tab/>
      </w:r>
      <w:r w:rsidRPr="003E7AB4">
        <w:rPr>
          <w:szCs w:val="20"/>
        </w:rPr>
        <w:tab/>
      </w:r>
      <w:r w:rsidRPr="003E7AB4">
        <w:rPr>
          <w:szCs w:val="20"/>
        </w:rPr>
        <w:tab/>
      </w:r>
      <w:r w:rsidRPr="003E7AB4">
        <w:rPr>
          <w:szCs w:val="20"/>
        </w:rPr>
        <w:tab/>
        <w:t>Phillip Lehmann</w:t>
      </w:r>
    </w:p>
    <w:p w14:paraId="23C8E532" w14:textId="77777777" w:rsidR="002C416E" w:rsidRPr="003E7AB4" w:rsidRDefault="002C416E" w:rsidP="002C416E"/>
    <w:p w14:paraId="36FC2A21" w14:textId="77777777" w:rsidR="00537D4A" w:rsidRPr="003E7AB4" w:rsidRDefault="00537D4A"/>
    <w:sectPr w:rsidR="00537D4A" w:rsidRPr="003E7AB4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595CE" w14:textId="77777777" w:rsidR="003657F6" w:rsidRDefault="003657F6" w:rsidP="002C416E">
      <w:pPr>
        <w:spacing w:after="0" w:line="240" w:lineRule="auto"/>
      </w:pPr>
      <w:r>
        <w:separator/>
      </w:r>
    </w:p>
  </w:endnote>
  <w:endnote w:type="continuationSeparator" w:id="0">
    <w:p w14:paraId="6C175F9E" w14:textId="77777777" w:rsidR="003657F6" w:rsidRDefault="003657F6" w:rsidP="002C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79AD" w14:textId="77777777" w:rsidR="00E11AEA" w:rsidRDefault="006116C7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CCCDBE" w14:textId="77777777" w:rsidR="00E11AEA" w:rsidRDefault="00496734" w:rsidP="008016FB">
    <w:pPr>
      <w:pStyle w:val="Footer"/>
    </w:pPr>
  </w:p>
  <w:p w14:paraId="11FDE172" w14:textId="77777777" w:rsidR="00E11AEA" w:rsidRDefault="00496734" w:rsidP="008016FB"/>
  <w:p w14:paraId="53BE89C9" w14:textId="77777777" w:rsidR="00E11AEA" w:rsidRDefault="00496734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E8333" w14:textId="77777777" w:rsidR="00E11AEA" w:rsidRDefault="006116C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7EC439A" w14:textId="77777777" w:rsidR="00E11AEA" w:rsidRDefault="00496734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2038C" w14:textId="77777777" w:rsidR="003657F6" w:rsidRDefault="003657F6" w:rsidP="002C416E">
      <w:pPr>
        <w:spacing w:after="0" w:line="240" w:lineRule="auto"/>
      </w:pPr>
      <w:r>
        <w:separator/>
      </w:r>
    </w:p>
  </w:footnote>
  <w:footnote w:type="continuationSeparator" w:id="0">
    <w:p w14:paraId="7745E7A6" w14:textId="77777777" w:rsidR="003657F6" w:rsidRDefault="003657F6" w:rsidP="002C416E">
      <w:pPr>
        <w:spacing w:after="0" w:line="240" w:lineRule="auto"/>
      </w:pPr>
      <w:r>
        <w:continuationSeparator/>
      </w:r>
    </w:p>
  </w:footnote>
  <w:footnote w:id="1">
    <w:p w14:paraId="4F158795" w14:textId="68A422B3" w:rsidR="00C222E2" w:rsidRDefault="00C222E2" w:rsidP="00E84D8F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E84D8F">
        <w:t xml:space="preserve">  Luminant</w:t>
      </w:r>
      <w:r w:rsidR="003E7AB4">
        <w:t xml:space="preserve"> Energy Company LLC</w:t>
      </w:r>
      <w:r w:rsidR="00E84D8F">
        <w:t xml:space="preserve">’s Exceptions </w:t>
      </w:r>
      <w:r>
        <w:t xml:space="preserve">to </w:t>
      </w:r>
      <w:r w:rsidR="003E7AB4">
        <w:t xml:space="preserve">the </w:t>
      </w:r>
      <w:r>
        <w:t>P</w:t>
      </w:r>
      <w:r w:rsidR="00C206B9">
        <w:t>FD</w:t>
      </w:r>
      <w:r>
        <w:t xml:space="preserve"> at 6 (Feb. 6, 2023)</w:t>
      </w:r>
      <w:r w:rsidR="003E7AB4">
        <w:t xml:space="preserve"> (Luminant’s Exceptions)</w:t>
      </w:r>
    </w:p>
  </w:footnote>
  <w:footnote w:id="2">
    <w:p w14:paraId="3E4032EE" w14:textId="59FEB625" w:rsidR="000D2B6B" w:rsidRDefault="000D2B6B" w:rsidP="00E84D8F">
      <w:pPr>
        <w:pStyle w:val="FootnoteText"/>
        <w:spacing w:line="240" w:lineRule="auto"/>
      </w:pPr>
      <w:r>
        <w:rPr>
          <w:rStyle w:val="FootnoteReference"/>
        </w:rPr>
        <w:footnoteRef/>
      </w:r>
      <w:r w:rsidR="003E7AB4">
        <w:t xml:space="preserve">  </w:t>
      </w:r>
      <w:r w:rsidR="00C206B9">
        <w:t>Luminant states that “</w:t>
      </w:r>
      <w:r w:rsidR="00C206B9" w:rsidRPr="00C206B9">
        <w:t>demand charges that are a prerequisite to obtaining firm fuel transportation</w:t>
      </w:r>
      <w:r w:rsidR="00F84916">
        <w:t>.</w:t>
      </w:r>
      <w:r w:rsidR="00C206B9">
        <w:t>” Luminant’s Exceptions at 4.</w:t>
      </w:r>
    </w:p>
  </w:footnote>
  <w:footnote w:id="3">
    <w:p w14:paraId="6A2EEBED" w14:textId="2E67CBB8" w:rsidR="00846D7C" w:rsidRDefault="00846D7C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>
        <w:t>Luminant’s Exceptions at 5-</w:t>
      </w:r>
      <w:r w:rsidR="00553D75">
        <w:t>17.</w:t>
      </w:r>
    </w:p>
  </w:footnote>
  <w:footnote w:id="4">
    <w:p w14:paraId="75FDE4D8" w14:textId="5EFF26A9" w:rsidR="00D352D1" w:rsidRDefault="00D352D1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>
        <w:t>VCM § 3.5(3)</w:t>
      </w:r>
    </w:p>
  </w:footnote>
  <w:footnote w:id="5">
    <w:p w14:paraId="16B58E08" w14:textId="7D7B12E8" w:rsidR="00D352D1" w:rsidRDefault="00D352D1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Pr="00CF494C">
        <w:rPr>
          <w:i/>
          <w:iCs/>
        </w:rPr>
        <w:t>Id</w:t>
      </w:r>
      <w:r>
        <w:t>.</w:t>
      </w:r>
    </w:p>
  </w:footnote>
  <w:footnote w:id="6">
    <w:p w14:paraId="6B4C36DD" w14:textId="6371FF8B" w:rsidR="00525700" w:rsidRDefault="00525700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bookmarkStart w:id="0" w:name="_Hlk127184929"/>
      <w:r>
        <w:t xml:space="preserve">Luminant’s Exceptions </w:t>
      </w:r>
      <w:bookmarkEnd w:id="0"/>
      <w:r>
        <w:t>at 14.</w:t>
      </w:r>
    </w:p>
  </w:footnote>
  <w:footnote w:id="7">
    <w:p w14:paraId="7A94DF94" w14:textId="4AD755F3" w:rsidR="00823E56" w:rsidRDefault="00823E56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886EB6">
        <w:t xml:space="preserve"> PFD at 7-8.</w:t>
      </w:r>
    </w:p>
  </w:footnote>
  <w:footnote w:id="8">
    <w:p w14:paraId="43EEEB13" w14:textId="78A106DC" w:rsidR="00886EB6" w:rsidRDefault="00886EB6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 w:rsidRPr="00886EB6">
        <w:rPr>
          <w:i/>
          <w:iCs/>
        </w:rPr>
        <w:t>Id</w:t>
      </w:r>
      <w:r>
        <w:t>.</w:t>
      </w:r>
    </w:p>
  </w:footnote>
  <w:footnote w:id="9">
    <w:p w14:paraId="0F339058" w14:textId="54911590" w:rsidR="00886EB6" w:rsidRDefault="00886EB6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 w:rsidRPr="00886EB6">
        <w:rPr>
          <w:i/>
          <w:iCs/>
        </w:rPr>
        <w:t>Id</w:t>
      </w:r>
      <w:r>
        <w:t>.</w:t>
      </w:r>
    </w:p>
  </w:footnote>
  <w:footnote w:id="10">
    <w:p w14:paraId="421217D6" w14:textId="5CF52807" w:rsidR="00886EB6" w:rsidRDefault="00886EB6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 w:rsidRPr="00886EB6">
        <w:rPr>
          <w:i/>
          <w:iCs/>
        </w:rPr>
        <w:t>Id</w:t>
      </w:r>
      <w:r>
        <w:t>.</w:t>
      </w:r>
    </w:p>
  </w:footnote>
  <w:footnote w:id="11">
    <w:p w14:paraId="7A9160DB" w14:textId="440D71E7" w:rsidR="00886EB6" w:rsidRDefault="00886EB6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 w:rsidRPr="00886EB6">
        <w:rPr>
          <w:i/>
          <w:iCs/>
        </w:rPr>
        <w:t>Id</w:t>
      </w:r>
      <w:r>
        <w:t>.</w:t>
      </w:r>
    </w:p>
  </w:footnote>
  <w:footnote w:id="12">
    <w:p w14:paraId="25281F61" w14:textId="666DE861" w:rsidR="00E152BB" w:rsidRDefault="00E152BB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364146">
        <w:t xml:space="preserve"> </w:t>
      </w:r>
      <w:r>
        <w:t xml:space="preserve">Luminant’s Exceptions at </w:t>
      </w:r>
      <w:r w:rsidR="00F53A65">
        <w:t>21</w:t>
      </w:r>
      <w:r>
        <w:t>.</w:t>
      </w:r>
    </w:p>
  </w:footnote>
  <w:footnote w:id="13">
    <w:p w14:paraId="15E6A014" w14:textId="2178B32C" w:rsidR="00F53A65" w:rsidRDefault="00F53A65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364146">
        <w:t xml:space="preserve"> </w:t>
      </w:r>
      <w:r>
        <w:t xml:space="preserve">PFD at </w:t>
      </w:r>
      <w:r w:rsidR="003160DB">
        <w:t>10 (citing VCM § 11.1(1)).</w:t>
      </w:r>
    </w:p>
  </w:footnote>
  <w:footnote w:id="14">
    <w:p w14:paraId="108838CF" w14:textId="638DD095" w:rsidR="000A6DC2" w:rsidRDefault="000A6DC2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="0027063A">
        <w:t>Luminant</w:t>
      </w:r>
      <w:r w:rsidR="000A29DD">
        <w:t xml:space="preserve">’s Exceptions at </w:t>
      </w:r>
      <w:r>
        <w:t>18-20</w:t>
      </w:r>
      <w:r w:rsidR="000A29DD">
        <w:t>.</w:t>
      </w:r>
    </w:p>
  </w:footnote>
  <w:footnote w:id="15">
    <w:p w14:paraId="05CD3656" w14:textId="72704069" w:rsidR="001C64C7" w:rsidRDefault="001C64C7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="00911EEF" w:rsidRPr="00227EEB">
        <w:rPr>
          <w:i/>
          <w:iCs/>
        </w:rPr>
        <w:t>Id</w:t>
      </w:r>
      <w:r w:rsidR="00911EEF">
        <w:t>.</w:t>
      </w:r>
      <w:r w:rsidR="000A1A58">
        <w:t xml:space="preserve"> at 21.</w:t>
      </w:r>
    </w:p>
  </w:footnote>
  <w:footnote w:id="16">
    <w:p w14:paraId="3B5ECAB8" w14:textId="4EBC4379" w:rsidR="005A4BA1" w:rsidRDefault="005A4BA1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="00F56DE7">
        <w:t>Proposal for Decision on Motions for Summary Decision</w:t>
      </w:r>
      <w:r w:rsidR="006616CE">
        <w:t xml:space="preserve"> at 9</w:t>
      </w:r>
      <w:r w:rsidR="00F56DE7">
        <w:t xml:space="preserve"> (Jan. 6, 2023).</w:t>
      </w:r>
    </w:p>
  </w:footnote>
  <w:footnote w:id="17">
    <w:p w14:paraId="37D2DAAE" w14:textId="277556EB" w:rsidR="001C64C7" w:rsidRDefault="001C64C7" w:rsidP="004A36D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>
        <w:t xml:space="preserve">ERCOT’s Response to Luminant’s Motion for Summary Decision </w:t>
      </w:r>
      <w:r w:rsidR="00897D11">
        <w:t xml:space="preserve">at 3-4 </w:t>
      </w:r>
      <w:r>
        <w:t>(</w:t>
      </w:r>
      <w:r w:rsidR="00897D11">
        <w:t>Jul. 2, 2021).</w:t>
      </w:r>
    </w:p>
  </w:footnote>
  <w:footnote w:id="18">
    <w:p w14:paraId="10A072A9" w14:textId="5B9446AB" w:rsidR="003016D6" w:rsidRDefault="003016D6" w:rsidP="00AB1A2F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="00897D11" w:rsidRPr="00227EEB">
        <w:rPr>
          <w:i/>
          <w:iCs/>
        </w:rPr>
        <w:t>Id</w:t>
      </w:r>
      <w:r w:rsidR="00897D11">
        <w:t>.</w:t>
      </w:r>
    </w:p>
  </w:footnote>
  <w:footnote w:id="19">
    <w:p w14:paraId="706461B5" w14:textId="6267EB08" w:rsidR="00897D11" w:rsidRDefault="00897D11" w:rsidP="00AB1A2F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Pr="00227EEB">
        <w:rPr>
          <w:i/>
          <w:iCs/>
        </w:rPr>
        <w:t>Id</w:t>
      </w:r>
      <w:r>
        <w:t xml:space="preserve">. </w:t>
      </w:r>
    </w:p>
  </w:footnote>
  <w:footnote w:id="20">
    <w:p w14:paraId="369576F8" w14:textId="47B074BD" w:rsidR="00897D11" w:rsidRDefault="00897D11" w:rsidP="00AB1A2F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Pr="00227EEB">
        <w:rPr>
          <w:i/>
          <w:iCs/>
        </w:rPr>
        <w:t>Id</w:t>
      </w:r>
      <w:r>
        <w:t>.</w:t>
      </w:r>
    </w:p>
  </w:footnote>
  <w:footnote w:id="21">
    <w:p w14:paraId="20066155" w14:textId="577B408A" w:rsidR="00897D11" w:rsidRDefault="00897D11" w:rsidP="00AB1A2F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227EEB">
        <w:t xml:space="preserve"> </w:t>
      </w:r>
      <w:r w:rsidRPr="00227EEB">
        <w:rPr>
          <w:i/>
          <w:iCs/>
        </w:rPr>
        <w:t>Id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575"/>
    <w:multiLevelType w:val="hybridMultilevel"/>
    <w:tmpl w:val="B44E86B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73EC4"/>
    <w:multiLevelType w:val="hybridMultilevel"/>
    <w:tmpl w:val="F25E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80E7A"/>
    <w:multiLevelType w:val="hybridMultilevel"/>
    <w:tmpl w:val="3BB600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F269E"/>
    <w:multiLevelType w:val="hybridMultilevel"/>
    <w:tmpl w:val="B44E86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796417">
    <w:abstractNumId w:val="3"/>
  </w:num>
  <w:num w:numId="2" w16cid:durableId="327758309">
    <w:abstractNumId w:val="0"/>
  </w:num>
  <w:num w:numId="3" w16cid:durableId="1575121426">
    <w:abstractNumId w:val="2"/>
  </w:num>
  <w:num w:numId="4" w16cid:durableId="128630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6E"/>
    <w:rsid w:val="00056516"/>
    <w:rsid w:val="000600BA"/>
    <w:rsid w:val="00061128"/>
    <w:rsid w:val="00080929"/>
    <w:rsid w:val="000A1A58"/>
    <w:rsid w:val="000A29DD"/>
    <w:rsid w:val="000A6DC2"/>
    <w:rsid w:val="000B4CE0"/>
    <w:rsid w:val="000C57FE"/>
    <w:rsid w:val="000D2B6B"/>
    <w:rsid w:val="000E281B"/>
    <w:rsid w:val="00103374"/>
    <w:rsid w:val="001063FC"/>
    <w:rsid w:val="0015072D"/>
    <w:rsid w:val="00161F58"/>
    <w:rsid w:val="00184EA7"/>
    <w:rsid w:val="001C64C7"/>
    <w:rsid w:val="001E12BE"/>
    <w:rsid w:val="001E15A4"/>
    <w:rsid w:val="001F1307"/>
    <w:rsid w:val="00211C01"/>
    <w:rsid w:val="00227EEB"/>
    <w:rsid w:val="0027063A"/>
    <w:rsid w:val="002C416E"/>
    <w:rsid w:val="002C5FC0"/>
    <w:rsid w:val="002D0291"/>
    <w:rsid w:val="002E1A4B"/>
    <w:rsid w:val="002E2594"/>
    <w:rsid w:val="003005B2"/>
    <w:rsid w:val="003016D6"/>
    <w:rsid w:val="003160DB"/>
    <w:rsid w:val="003344AE"/>
    <w:rsid w:val="0033492C"/>
    <w:rsid w:val="003512A7"/>
    <w:rsid w:val="00364146"/>
    <w:rsid w:val="003657F6"/>
    <w:rsid w:val="003860B6"/>
    <w:rsid w:val="003B1EEB"/>
    <w:rsid w:val="003B337F"/>
    <w:rsid w:val="003C01F1"/>
    <w:rsid w:val="003E7AB4"/>
    <w:rsid w:val="00411D91"/>
    <w:rsid w:val="00436007"/>
    <w:rsid w:val="004412CE"/>
    <w:rsid w:val="00445193"/>
    <w:rsid w:val="00450714"/>
    <w:rsid w:val="00464462"/>
    <w:rsid w:val="00487419"/>
    <w:rsid w:val="00494976"/>
    <w:rsid w:val="00496734"/>
    <w:rsid w:val="004A36DA"/>
    <w:rsid w:val="00525700"/>
    <w:rsid w:val="00537D4A"/>
    <w:rsid w:val="00553D75"/>
    <w:rsid w:val="0056316D"/>
    <w:rsid w:val="00593673"/>
    <w:rsid w:val="005A4BA1"/>
    <w:rsid w:val="006008A3"/>
    <w:rsid w:val="006116C7"/>
    <w:rsid w:val="00622794"/>
    <w:rsid w:val="006228BF"/>
    <w:rsid w:val="006228DD"/>
    <w:rsid w:val="006408D5"/>
    <w:rsid w:val="0064782B"/>
    <w:rsid w:val="00660D3D"/>
    <w:rsid w:val="006616CE"/>
    <w:rsid w:val="0066502F"/>
    <w:rsid w:val="006B4398"/>
    <w:rsid w:val="006E3BB1"/>
    <w:rsid w:val="00706A4E"/>
    <w:rsid w:val="0071397E"/>
    <w:rsid w:val="00722727"/>
    <w:rsid w:val="00760742"/>
    <w:rsid w:val="007656A2"/>
    <w:rsid w:val="007904C4"/>
    <w:rsid w:val="00790D5D"/>
    <w:rsid w:val="007D51C3"/>
    <w:rsid w:val="008003CA"/>
    <w:rsid w:val="00805583"/>
    <w:rsid w:val="00806F7A"/>
    <w:rsid w:val="00816216"/>
    <w:rsid w:val="00822DBC"/>
    <w:rsid w:val="00823E56"/>
    <w:rsid w:val="008273DD"/>
    <w:rsid w:val="008450A6"/>
    <w:rsid w:val="00846D7C"/>
    <w:rsid w:val="0086766C"/>
    <w:rsid w:val="00877CC8"/>
    <w:rsid w:val="00886EB6"/>
    <w:rsid w:val="00897D11"/>
    <w:rsid w:val="008A7E5E"/>
    <w:rsid w:val="008C7779"/>
    <w:rsid w:val="008D0546"/>
    <w:rsid w:val="00911EEF"/>
    <w:rsid w:val="0095016F"/>
    <w:rsid w:val="00957A32"/>
    <w:rsid w:val="009A5D11"/>
    <w:rsid w:val="009B5CDD"/>
    <w:rsid w:val="009B659B"/>
    <w:rsid w:val="009C6EDF"/>
    <w:rsid w:val="009E02F4"/>
    <w:rsid w:val="00A11867"/>
    <w:rsid w:val="00AB1A2F"/>
    <w:rsid w:val="00AB37D4"/>
    <w:rsid w:val="00AE1CDA"/>
    <w:rsid w:val="00B41445"/>
    <w:rsid w:val="00B51D81"/>
    <w:rsid w:val="00BB72AA"/>
    <w:rsid w:val="00C13005"/>
    <w:rsid w:val="00C206B9"/>
    <w:rsid w:val="00C222E2"/>
    <w:rsid w:val="00C33969"/>
    <w:rsid w:val="00C52C38"/>
    <w:rsid w:val="00C56D70"/>
    <w:rsid w:val="00C6322B"/>
    <w:rsid w:val="00C96D62"/>
    <w:rsid w:val="00CC0577"/>
    <w:rsid w:val="00CE593E"/>
    <w:rsid w:val="00CE5F89"/>
    <w:rsid w:val="00CF494C"/>
    <w:rsid w:val="00CF7049"/>
    <w:rsid w:val="00D02683"/>
    <w:rsid w:val="00D14F8D"/>
    <w:rsid w:val="00D2731C"/>
    <w:rsid w:val="00D3244D"/>
    <w:rsid w:val="00D352D1"/>
    <w:rsid w:val="00D44408"/>
    <w:rsid w:val="00D45CE4"/>
    <w:rsid w:val="00D641D9"/>
    <w:rsid w:val="00D6757F"/>
    <w:rsid w:val="00D94982"/>
    <w:rsid w:val="00DB5314"/>
    <w:rsid w:val="00DB761E"/>
    <w:rsid w:val="00DD61F1"/>
    <w:rsid w:val="00DE745E"/>
    <w:rsid w:val="00DE74B4"/>
    <w:rsid w:val="00DF0413"/>
    <w:rsid w:val="00DF3EFE"/>
    <w:rsid w:val="00DF6BAB"/>
    <w:rsid w:val="00E152BB"/>
    <w:rsid w:val="00E25DFF"/>
    <w:rsid w:val="00E4697B"/>
    <w:rsid w:val="00E84D8F"/>
    <w:rsid w:val="00EA194F"/>
    <w:rsid w:val="00EA7D77"/>
    <w:rsid w:val="00EB0ED0"/>
    <w:rsid w:val="00EB1BD9"/>
    <w:rsid w:val="00F21FBF"/>
    <w:rsid w:val="00F31B50"/>
    <w:rsid w:val="00F407D1"/>
    <w:rsid w:val="00F53A65"/>
    <w:rsid w:val="00F56DE7"/>
    <w:rsid w:val="00F71749"/>
    <w:rsid w:val="00F7386F"/>
    <w:rsid w:val="00F84916"/>
    <w:rsid w:val="00F90E30"/>
    <w:rsid w:val="00FB6A9A"/>
    <w:rsid w:val="00FD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4259D4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16E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C416E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C416E"/>
    <w:rPr>
      <w:rFonts w:ascii="Times New Roman" w:eastAsia="Times New Roman" w:hAnsi="Times New Roman" w:cs="Times New Roman"/>
      <w:sz w:val="16"/>
      <w:szCs w:val="24"/>
    </w:rPr>
  </w:style>
  <w:style w:type="paragraph" w:styleId="FootnoteText">
    <w:name w:val="footnote text"/>
    <w:basedOn w:val="Normal"/>
    <w:next w:val="Normal"/>
    <w:link w:val="FootnoteTextChar"/>
    <w:semiHidden/>
    <w:rsid w:val="002C416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C416E"/>
    <w:rPr>
      <w:rFonts w:ascii="Times New Roman" w:eastAsia="Times New Roman" w:hAnsi="Times New Roman" w:cs="Times New Roman"/>
      <w:sz w:val="20"/>
      <w:szCs w:val="24"/>
    </w:rPr>
  </w:style>
  <w:style w:type="character" w:styleId="FootnoteReference">
    <w:name w:val="footnote reference"/>
    <w:semiHidden/>
    <w:rsid w:val="002C416E"/>
    <w:rPr>
      <w:position w:val="6"/>
      <w:sz w:val="16"/>
    </w:rPr>
  </w:style>
  <w:style w:type="character" w:styleId="PageNumber">
    <w:name w:val="page number"/>
    <w:basedOn w:val="DefaultParagraphFont"/>
    <w:rsid w:val="002C416E"/>
  </w:style>
  <w:style w:type="paragraph" w:styleId="ListParagraph">
    <w:name w:val="List Paragraph"/>
    <w:basedOn w:val="Normal"/>
    <w:uiPriority w:val="34"/>
    <w:qFormat/>
    <w:rsid w:val="00FB6A9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18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8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86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8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86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73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2023-02-13T20:20:00Z</dcterms:created>
  <dcterms:modified xsi:type="dcterms:W3CDTF">2023-02-13T20:48:00Z</dcterms:modified>
</cp:coreProperties>
</file>